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E3" w:rsidRDefault="00FE64E3">
      <w:pPr>
        <w:rPr>
          <w:rFonts w:ascii="Arial" w:hAnsi="Arial" w:cs="Arial"/>
          <w:sz w:val="24"/>
          <w:szCs w:val="24"/>
        </w:rPr>
      </w:pP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ANEXO X</w:t>
      </w: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CRITÉRIOS E PROCEDIMENTO DA PRÉ-SELEÇÃO ARTÍSTICA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EDITAL DE CHAMAMENTO PÚBLICO Nº 03/2026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FESTIVAL “1º SHOW DE TALENTOS DE JAGUARIAÍVA”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CATEGORIAS: POPULAR LIVRE, SERTANEJO E INFANTIL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1. DA FINALIDADE DA PRÉ-SELEÇÃO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1.1.</w:t>
      </w:r>
      <w:r w:rsidRPr="003558D6">
        <w:rPr>
          <w:rFonts w:ascii="Arial" w:hAnsi="Arial" w:cs="Arial"/>
          <w:sz w:val="24"/>
          <w:szCs w:val="24"/>
        </w:rPr>
        <w:t xml:space="preserve"> A pré-seleção artística será realizada exclusivamente quando o número de inscrições </w:t>
      </w:r>
      <w:r w:rsidRPr="003558D6">
        <w:rPr>
          <w:rFonts w:ascii="Arial" w:hAnsi="Arial" w:cs="Arial"/>
          <w:b/>
          <w:bCs/>
          <w:sz w:val="24"/>
          <w:szCs w:val="24"/>
        </w:rPr>
        <w:t>documentalmente habilitadas</w:t>
      </w:r>
      <w:r w:rsidRPr="003558D6">
        <w:rPr>
          <w:rFonts w:ascii="Arial" w:hAnsi="Arial" w:cs="Arial"/>
          <w:sz w:val="24"/>
          <w:szCs w:val="24"/>
        </w:rPr>
        <w:t xml:space="preserve"> em determinada categoria ultrapassar o limite de 10 (dez) participantes, conforme estabelecido no item 11 do Edital de Chamamento Público nº 03/2026.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1.2.</w:t>
      </w:r>
      <w:r w:rsidRPr="003558D6">
        <w:rPr>
          <w:rFonts w:ascii="Arial" w:hAnsi="Arial" w:cs="Arial"/>
          <w:sz w:val="24"/>
          <w:szCs w:val="24"/>
        </w:rPr>
        <w:t xml:space="preserve"> A pré-seleção será realizada </w:t>
      </w:r>
      <w:r w:rsidRPr="003558D6">
        <w:rPr>
          <w:rFonts w:ascii="Arial" w:hAnsi="Arial" w:cs="Arial"/>
          <w:b/>
          <w:bCs/>
          <w:sz w:val="24"/>
          <w:szCs w:val="24"/>
        </w:rPr>
        <w:t>presencialmente</w:t>
      </w:r>
      <w:r w:rsidRPr="003558D6">
        <w:rPr>
          <w:rFonts w:ascii="Arial" w:hAnsi="Arial" w:cs="Arial"/>
          <w:sz w:val="24"/>
          <w:szCs w:val="24"/>
        </w:rPr>
        <w:t>, perante comissão técnica composta por pessoas com conhecimento e experiência na área musical e/ou cultural, designadas pelo Município.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1.3.</w:t>
      </w:r>
      <w:r w:rsidRPr="003558D6">
        <w:rPr>
          <w:rFonts w:ascii="Arial" w:hAnsi="Arial" w:cs="Arial"/>
          <w:sz w:val="24"/>
          <w:szCs w:val="24"/>
        </w:rPr>
        <w:t xml:space="preserve"> A pré-seleção terá como finalidade exclusiva selecionar, entre os participantes documentalmente habilitados, aqueles que integrarão a etapa competitiva presencial do </w:t>
      </w:r>
      <w:r w:rsidRPr="003558D6">
        <w:rPr>
          <w:rFonts w:ascii="Arial" w:hAnsi="Arial" w:cs="Arial"/>
          <w:b/>
          <w:bCs/>
          <w:sz w:val="24"/>
          <w:szCs w:val="24"/>
        </w:rPr>
        <w:t>1º Show de Talentos de Jaguariaíva</w:t>
      </w:r>
      <w:r w:rsidRPr="003558D6">
        <w:rPr>
          <w:rFonts w:ascii="Arial" w:hAnsi="Arial" w:cs="Arial"/>
          <w:sz w:val="24"/>
          <w:szCs w:val="24"/>
        </w:rPr>
        <w:t>, observado o limite de 10 (dez) participantes por categoria.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1.4.</w:t>
      </w:r>
      <w:r w:rsidRPr="003558D6">
        <w:rPr>
          <w:rFonts w:ascii="Arial" w:hAnsi="Arial" w:cs="Arial"/>
          <w:sz w:val="24"/>
          <w:szCs w:val="24"/>
        </w:rPr>
        <w:t xml:space="preserve"> A pré-seleção não terá caráter de definição de vencedores e não determinará a classificação ou a premiação final do Festival.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1.5.</w:t>
      </w:r>
      <w:r w:rsidRPr="003558D6">
        <w:rPr>
          <w:rFonts w:ascii="Arial" w:hAnsi="Arial" w:cs="Arial"/>
          <w:sz w:val="24"/>
          <w:szCs w:val="24"/>
        </w:rPr>
        <w:t xml:space="preserve"> A pontuação obtida na pré-seleção será utilizada exclusivamente para fins de classificação e seleção dos participantes que integrarão a etapa competitiva, </w:t>
      </w:r>
      <w:r w:rsidRPr="003558D6">
        <w:rPr>
          <w:rFonts w:ascii="Arial" w:hAnsi="Arial" w:cs="Arial"/>
          <w:b/>
          <w:bCs/>
          <w:sz w:val="24"/>
          <w:szCs w:val="24"/>
        </w:rPr>
        <w:t>não sendo somada, aproveitada ou considerada na apuração da classificação final ou da premiação do Festival</w:t>
      </w:r>
      <w:r w:rsidRPr="003558D6">
        <w:rPr>
          <w:rFonts w:ascii="Arial" w:hAnsi="Arial" w:cs="Arial"/>
          <w:sz w:val="24"/>
          <w:szCs w:val="24"/>
        </w:rPr>
        <w:t>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2. DOS CRITÉRIOS DE AVALIAÇÃO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2.1.</w:t>
      </w:r>
      <w:r w:rsidRPr="003558D6">
        <w:rPr>
          <w:rFonts w:ascii="Arial" w:hAnsi="Arial" w:cs="Arial"/>
          <w:sz w:val="24"/>
          <w:szCs w:val="24"/>
        </w:rPr>
        <w:t xml:space="preserve"> A pré-seleção observará os mesmos critérios artísticos estabelecidos para a etapa competitiva, de modo a assegurar uniformidade, transparência e tratamento isonômico entre os participantes.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2.2.</w:t>
      </w:r>
      <w:r w:rsidRPr="003558D6">
        <w:rPr>
          <w:rFonts w:ascii="Arial" w:hAnsi="Arial" w:cs="Arial"/>
          <w:sz w:val="24"/>
          <w:szCs w:val="24"/>
        </w:rPr>
        <w:t xml:space="preserve"> Serão considerados os seguintes critérios: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2"/>
        <w:gridCol w:w="2263"/>
      </w:tblGrid>
      <w:tr w:rsidR="003558D6" w:rsidRPr="003558D6" w:rsidTr="003558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58D6">
              <w:rPr>
                <w:rFonts w:ascii="Arial" w:hAnsi="Arial" w:cs="Arial"/>
                <w:b/>
                <w:bCs/>
                <w:sz w:val="24"/>
                <w:szCs w:val="24"/>
              </w:rPr>
              <w:t>Critério</w:t>
            </w:r>
          </w:p>
        </w:tc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58D6">
              <w:rPr>
                <w:rFonts w:ascii="Arial" w:hAnsi="Arial" w:cs="Arial"/>
                <w:b/>
                <w:bCs/>
                <w:sz w:val="24"/>
                <w:szCs w:val="24"/>
              </w:rPr>
              <w:t>Pontuação máxima</w:t>
            </w:r>
          </w:p>
        </w:tc>
      </w:tr>
      <w:tr w:rsidR="003558D6" w:rsidRPr="003558D6" w:rsidTr="003558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58D6">
              <w:rPr>
                <w:rFonts w:ascii="Arial" w:hAnsi="Arial" w:cs="Arial"/>
                <w:sz w:val="24"/>
                <w:szCs w:val="24"/>
              </w:rPr>
              <w:t>Técnica vocal e/ou instrumental / Virtuosismo</w:t>
            </w:r>
          </w:p>
        </w:tc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58D6">
              <w:rPr>
                <w:rFonts w:ascii="Arial" w:hAnsi="Arial" w:cs="Arial"/>
                <w:sz w:val="24"/>
                <w:szCs w:val="24"/>
              </w:rPr>
              <w:t>25 pontos</w:t>
            </w:r>
          </w:p>
        </w:tc>
      </w:tr>
      <w:tr w:rsidR="003558D6" w:rsidRPr="003558D6" w:rsidTr="003558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58D6">
              <w:rPr>
                <w:rFonts w:ascii="Arial" w:hAnsi="Arial" w:cs="Arial"/>
                <w:sz w:val="24"/>
                <w:szCs w:val="24"/>
              </w:rPr>
              <w:t>Afinação</w:t>
            </w:r>
          </w:p>
        </w:tc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58D6">
              <w:rPr>
                <w:rFonts w:ascii="Arial" w:hAnsi="Arial" w:cs="Arial"/>
                <w:sz w:val="24"/>
                <w:szCs w:val="24"/>
              </w:rPr>
              <w:t>20 pontos</w:t>
            </w:r>
          </w:p>
        </w:tc>
      </w:tr>
      <w:tr w:rsidR="003558D6" w:rsidRPr="003558D6" w:rsidTr="003558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58D6">
              <w:rPr>
                <w:rFonts w:ascii="Arial" w:hAnsi="Arial" w:cs="Arial"/>
                <w:sz w:val="24"/>
                <w:szCs w:val="24"/>
              </w:rPr>
              <w:lastRenderedPageBreak/>
              <w:t>Interpretação</w:t>
            </w:r>
          </w:p>
        </w:tc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58D6">
              <w:rPr>
                <w:rFonts w:ascii="Arial" w:hAnsi="Arial" w:cs="Arial"/>
                <w:sz w:val="24"/>
                <w:szCs w:val="24"/>
              </w:rPr>
              <w:t>20 pontos</w:t>
            </w:r>
          </w:p>
        </w:tc>
      </w:tr>
      <w:tr w:rsidR="003558D6" w:rsidRPr="003558D6" w:rsidTr="003558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58D6">
              <w:rPr>
                <w:rFonts w:ascii="Arial" w:hAnsi="Arial" w:cs="Arial"/>
                <w:sz w:val="24"/>
                <w:szCs w:val="24"/>
              </w:rPr>
              <w:t>Ritmo e musicalidade</w:t>
            </w:r>
          </w:p>
        </w:tc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58D6">
              <w:rPr>
                <w:rFonts w:ascii="Arial" w:hAnsi="Arial" w:cs="Arial"/>
                <w:sz w:val="24"/>
                <w:szCs w:val="24"/>
              </w:rPr>
              <w:t>20 pontos</w:t>
            </w:r>
          </w:p>
        </w:tc>
      </w:tr>
      <w:tr w:rsidR="003558D6" w:rsidRPr="003558D6" w:rsidTr="003558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58D6">
              <w:rPr>
                <w:rFonts w:ascii="Arial" w:hAnsi="Arial" w:cs="Arial"/>
                <w:sz w:val="24"/>
                <w:szCs w:val="24"/>
              </w:rPr>
              <w:t>Presença de palco e comunicação com o público</w:t>
            </w:r>
          </w:p>
        </w:tc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58D6">
              <w:rPr>
                <w:rFonts w:ascii="Arial" w:hAnsi="Arial" w:cs="Arial"/>
                <w:sz w:val="24"/>
                <w:szCs w:val="24"/>
              </w:rPr>
              <w:t>15 pontos</w:t>
            </w:r>
          </w:p>
        </w:tc>
      </w:tr>
      <w:tr w:rsidR="003558D6" w:rsidRPr="003558D6" w:rsidTr="003558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58D6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3558D6" w:rsidRPr="003558D6" w:rsidRDefault="003558D6" w:rsidP="003558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58D6">
              <w:rPr>
                <w:rFonts w:ascii="Arial" w:hAnsi="Arial" w:cs="Arial"/>
                <w:b/>
                <w:bCs/>
                <w:sz w:val="24"/>
                <w:szCs w:val="24"/>
              </w:rPr>
              <w:t>100 pontos</w:t>
            </w:r>
          </w:p>
        </w:tc>
      </w:tr>
    </w:tbl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2.3.</w:t>
      </w:r>
      <w:r w:rsidRPr="003558D6">
        <w:rPr>
          <w:rFonts w:ascii="Arial" w:hAnsi="Arial" w:cs="Arial"/>
          <w:sz w:val="24"/>
          <w:szCs w:val="24"/>
        </w:rPr>
        <w:t xml:space="preserve"> Cada integrante da comissão técnica atribuirá, de forma individual e independente, nota de 0 (zero) até a pontuação máxima prevista para cada critério.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2.4.</w:t>
      </w:r>
      <w:r w:rsidRPr="003558D6">
        <w:rPr>
          <w:rFonts w:ascii="Arial" w:hAnsi="Arial" w:cs="Arial"/>
          <w:sz w:val="24"/>
          <w:szCs w:val="24"/>
        </w:rPr>
        <w:t xml:space="preserve"> A avaliação deverá considerar exclusivamente o desempenho apresentado pelo participante durante a realização da pré-seleção presencial, observados os critérios estabelecidos neste Anexo.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3. DA APLICAÇÃO DOS CRITÉRIOS</w:t>
      </w: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3.1. Técnica vocal e/ou instrumental / Virtuosismo – até 25 pontos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sz w:val="24"/>
          <w:szCs w:val="24"/>
        </w:rPr>
        <w:t>Será avaliado o domínio técnico demonstrado pelo participante na execução vocal e/ou instrumental, considerando, conforme a modalidade apresentada, aspectos como controle técnico, precisão, domínio do instrumento ou da voz, complexidade da execução e grau de dificuldade compatível com a proposta apresentada.</w:t>
      </w: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3.2. Afinação – até 20 pontos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sz w:val="24"/>
          <w:szCs w:val="24"/>
        </w:rPr>
        <w:t>Será avaliada a precisão da afinação vocal e/ou instrumental, considerando a capacidade do participante de manter as notas e relações melódicas de forma adequada à execução apresentada.</w:t>
      </w: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3.3. Interpretação – até 20 pontos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sz w:val="24"/>
          <w:szCs w:val="24"/>
        </w:rPr>
        <w:t>Será avaliada a capacidade do participante de interpretar a obra musical, considerando expressividade, intenção artística, dinâmica, fraseado e capacidade de transmitir a proposta da música apresentada.</w:t>
      </w: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 xml:space="preserve">3.4. Ritmo e musicalidade – </w:t>
      </w:r>
      <w:r w:rsidR="00027B59" w:rsidRPr="003558D6">
        <w:rPr>
          <w:rFonts w:ascii="Arial" w:hAnsi="Arial" w:cs="Arial"/>
          <w:b/>
          <w:bCs/>
          <w:sz w:val="24"/>
          <w:szCs w:val="24"/>
        </w:rPr>
        <w:t>até 20 Pontos</w:t>
      </w:r>
      <w:bookmarkStart w:id="0" w:name="_GoBack"/>
      <w:bookmarkEnd w:id="0"/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sz w:val="24"/>
          <w:szCs w:val="24"/>
        </w:rPr>
        <w:t>Será avaliada a manutenção do ritmo, tempo, pulsação, coordenação e organização musical, bem como a percepção e utilização adequada dos elementos musicais durante a apresentação.</w:t>
      </w: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3.5. Presença de palco e comunicação com o público – até 15 pontos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sz w:val="24"/>
          <w:szCs w:val="24"/>
        </w:rPr>
        <w:t>Será avaliada a desenvoltura do participante durante a apresentação, considerando postura, segurança, expressão corporal, interação e capacidade de comunicação com o público, observadas as características próprias de cada categoria.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sz w:val="24"/>
          <w:szCs w:val="24"/>
        </w:rPr>
        <w:lastRenderedPageBreak/>
        <w:pict>
          <v:rect id="_x0000_i1028" style="width:0;height:1.5pt" o:hralign="center" o:hrstd="t" o:hr="t" fillcolor="#a0a0a0" stroked="f"/>
        </w:pict>
      </w: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4. DO PROCEDIMENTO DE AVALIAÇÃO E CLASSIFICAÇÃO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4.1.</w:t>
      </w:r>
      <w:r w:rsidRPr="003558D6">
        <w:rPr>
          <w:rFonts w:ascii="Arial" w:hAnsi="Arial" w:cs="Arial"/>
          <w:sz w:val="24"/>
          <w:szCs w:val="24"/>
        </w:rPr>
        <w:t xml:space="preserve"> A comissão técnica realizará a avaliação individual dos participantes durante a pré-seleção presencial, atribuindo as respectivas notas conforme os critérios e limites de pontuação estabelecidos neste Anexo.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4.2.</w:t>
      </w:r>
      <w:r w:rsidRPr="003558D6">
        <w:rPr>
          <w:rFonts w:ascii="Arial" w:hAnsi="Arial" w:cs="Arial"/>
          <w:sz w:val="24"/>
          <w:szCs w:val="24"/>
        </w:rPr>
        <w:t xml:space="preserve"> As notas atribuídas por cada integrante da comissão técnica serão registradas em instrumento próprio de avaliação.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4.3.</w:t>
      </w:r>
      <w:r w:rsidRPr="003558D6">
        <w:rPr>
          <w:rFonts w:ascii="Arial" w:hAnsi="Arial" w:cs="Arial"/>
          <w:sz w:val="24"/>
          <w:szCs w:val="24"/>
        </w:rPr>
        <w:t xml:space="preserve"> A pontuação final de cada participante será obtida mediante a soma das notas atribuídas pelos integrantes da comissão técnica, observados os procedimentos definidos pelo Município.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4.4.</w:t>
      </w:r>
      <w:r w:rsidRPr="003558D6">
        <w:rPr>
          <w:rFonts w:ascii="Arial" w:hAnsi="Arial" w:cs="Arial"/>
          <w:sz w:val="24"/>
          <w:szCs w:val="24"/>
        </w:rPr>
        <w:t xml:space="preserve"> A classificação da pré-seleção será estabelecida em ordem decrescente da pontuação final obtida por cada participante.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4.5.</w:t>
      </w:r>
      <w:r w:rsidRPr="003558D6">
        <w:rPr>
          <w:rFonts w:ascii="Arial" w:hAnsi="Arial" w:cs="Arial"/>
          <w:sz w:val="24"/>
          <w:szCs w:val="24"/>
        </w:rPr>
        <w:t xml:space="preserve"> Serão selecionados para a etapa competitiva os participantes que ocuparem as </w:t>
      </w:r>
      <w:r w:rsidRPr="003558D6">
        <w:rPr>
          <w:rFonts w:ascii="Arial" w:hAnsi="Arial" w:cs="Arial"/>
          <w:b/>
          <w:bCs/>
          <w:sz w:val="24"/>
          <w:szCs w:val="24"/>
        </w:rPr>
        <w:t>10 (dez) primeiras posições</w:t>
      </w:r>
      <w:r w:rsidRPr="003558D6">
        <w:rPr>
          <w:rFonts w:ascii="Arial" w:hAnsi="Arial" w:cs="Arial"/>
          <w:sz w:val="24"/>
          <w:szCs w:val="24"/>
        </w:rPr>
        <w:t xml:space="preserve"> da classificação de cada categoria.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4.6.</w:t>
      </w:r>
      <w:r w:rsidRPr="003558D6">
        <w:rPr>
          <w:rFonts w:ascii="Arial" w:hAnsi="Arial" w:cs="Arial"/>
          <w:sz w:val="24"/>
          <w:szCs w:val="24"/>
        </w:rPr>
        <w:t xml:space="preserve"> Os participantes classificados após a 10ª (décima) posição poderão compor o cadastro de reserva da respectiva categoria, observada a ordem de classificação obtida na pré-seleção.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4.7.</w:t>
      </w:r>
      <w:r w:rsidRPr="003558D6">
        <w:rPr>
          <w:rFonts w:ascii="Arial" w:hAnsi="Arial" w:cs="Arial"/>
          <w:sz w:val="24"/>
          <w:szCs w:val="24"/>
        </w:rPr>
        <w:t xml:space="preserve"> Havendo desistência, impedimento ou impossibilidade de participação de candidato selecionado para a etapa competitiva, poderá ser convocado o próximo participante classificado no cadastro de reserva da respectiva categoria, respeitada a ordem de classificação.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5. DOS EMPATES NA PRÉ-SELEÇÃO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5.1.</w:t>
      </w:r>
      <w:r w:rsidRPr="003558D6">
        <w:rPr>
          <w:rFonts w:ascii="Arial" w:hAnsi="Arial" w:cs="Arial"/>
          <w:sz w:val="24"/>
          <w:szCs w:val="24"/>
        </w:rPr>
        <w:t xml:space="preserve"> Em caso de empate na pontuação final da pré-seleção que possa interferir na definição dos 10 (dez) participantes selecionados para a etapa competitiva, serão aplicados, sucessivamente, os seguintes critérios de desempate: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I</w:t>
      </w:r>
      <w:r w:rsidRPr="003558D6">
        <w:rPr>
          <w:rFonts w:ascii="Arial" w:hAnsi="Arial" w:cs="Arial"/>
          <w:sz w:val="24"/>
          <w:szCs w:val="24"/>
        </w:rPr>
        <w:t xml:space="preserve"> – Maior pontuação no critério </w:t>
      </w:r>
      <w:r w:rsidRPr="003558D6">
        <w:rPr>
          <w:rFonts w:ascii="Arial" w:hAnsi="Arial" w:cs="Arial"/>
          <w:b/>
          <w:bCs/>
          <w:sz w:val="24"/>
          <w:szCs w:val="24"/>
        </w:rPr>
        <w:t>Técnica vocal e/ou instrumental / Virtuosismo</w:t>
      </w:r>
      <w:r w:rsidRPr="003558D6">
        <w:rPr>
          <w:rFonts w:ascii="Arial" w:hAnsi="Arial" w:cs="Arial"/>
          <w:sz w:val="24"/>
          <w:szCs w:val="24"/>
        </w:rPr>
        <w:t>;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II</w:t>
      </w:r>
      <w:r w:rsidRPr="003558D6">
        <w:rPr>
          <w:rFonts w:ascii="Arial" w:hAnsi="Arial" w:cs="Arial"/>
          <w:sz w:val="24"/>
          <w:szCs w:val="24"/>
        </w:rPr>
        <w:t xml:space="preserve"> – Persistindo o empate, maior pontuação no critério </w:t>
      </w:r>
      <w:r w:rsidRPr="003558D6">
        <w:rPr>
          <w:rFonts w:ascii="Arial" w:hAnsi="Arial" w:cs="Arial"/>
          <w:b/>
          <w:bCs/>
          <w:sz w:val="24"/>
          <w:szCs w:val="24"/>
        </w:rPr>
        <w:t>Afinação</w:t>
      </w:r>
      <w:r w:rsidRPr="003558D6">
        <w:rPr>
          <w:rFonts w:ascii="Arial" w:hAnsi="Arial" w:cs="Arial"/>
          <w:sz w:val="24"/>
          <w:szCs w:val="24"/>
        </w:rPr>
        <w:t>;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 xml:space="preserve"> – P</w:t>
      </w:r>
      <w:r w:rsidRPr="003558D6">
        <w:rPr>
          <w:rFonts w:ascii="Arial" w:hAnsi="Arial" w:cs="Arial"/>
          <w:sz w:val="24"/>
          <w:szCs w:val="24"/>
        </w:rPr>
        <w:t xml:space="preserve">ersistindo o empate, maior pontuação no critério </w:t>
      </w:r>
      <w:r w:rsidRPr="003558D6">
        <w:rPr>
          <w:rFonts w:ascii="Arial" w:hAnsi="Arial" w:cs="Arial"/>
          <w:b/>
          <w:bCs/>
          <w:sz w:val="24"/>
          <w:szCs w:val="24"/>
        </w:rPr>
        <w:t>Interpretação</w:t>
      </w:r>
      <w:r w:rsidRPr="003558D6">
        <w:rPr>
          <w:rFonts w:ascii="Arial" w:hAnsi="Arial" w:cs="Arial"/>
          <w:sz w:val="24"/>
          <w:szCs w:val="24"/>
        </w:rPr>
        <w:t>;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IV</w:t>
      </w:r>
      <w:r w:rsidRPr="003558D6">
        <w:rPr>
          <w:rFonts w:ascii="Arial" w:hAnsi="Arial" w:cs="Arial"/>
          <w:sz w:val="24"/>
          <w:szCs w:val="24"/>
        </w:rPr>
        <w:t xml:space="preserve"> – Persistindo o empate, maior pontuação no critério </w:t>
      </w:r>
      <w:r w:rsidRPr="003558D6">
        <w:rPr>
          <w:rFonts w:ascii="Arial" w:hAnsi="Arial" w:cs="Arial"/>
          <w:b/>
          <w:bCs/>
          <w:sz w:val="24"/>
          <w:szCs w:val="24"/>
        </w:rPr>
        <w:t>Ritmo e musicalidade</w:t>
      </w:r>
      <w:r w:rsidRPr="003558D6">
        <w:rPr>
          <w:rFonts w:ascii="Arial" w:hAnsi="Arial" w:cs="Arial"/>
          <w:sz w:val="24"/>
          <w:szCs w:val="24"/>
        </w:rPr>
        <w:t>;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V</w:t>
      </w:r>
      <w:r w:rsidRPr="003558D6">
        <w:rPr>
          <w:rFonts w:ascii="Arial" w:hAnsi="Arial" w:cs="Arial"/>
          <w:sz w:val="24"/>
          <w:szCs w:val="24"/>
        </w:rPr>
        <w:t xml:space="preserve"> – Persistindo o empate, maior pontuação no critério </w:t>
      </w:r>
      <w:r w:rsidRPr="003558D6">
        <w:rPr>
          <w:rFonts w:ascii="Arial" w:hAnsi="Arial" w:cs="Arial"/>
          <w:b/>
          <w:bCs/>
          <w:sz w:val="24"/>
          <w:szCs w:val="24"/>
        </w:rPr>
        <w:t>Presença de palco e comunicação com o público</w:t>
      </w:r>
      <w:r w:rsidRPr="003558D6">
        <w:rPr>
          <w:rFonts w:ascii="Arial" w:hAnsi="Arial" w:cs="Arial"/>
          <w:sz w:val="24"/>
          <w:szCs w:val="24"/>
        </w:rPr>
        <w:t>;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VI</w:t>
      </w:r>
      <w:r w:rsidRPr="003558D6">
        <w:rPr>
          <w:rFonts w:ascii="Arial" w:hAnsi="Arial" w:cs="Arial"/>
          <w:sz w:val="24"/>
          <w:szCs w:val="24"/>
        </w:rPr>
        <w:t xml:space="preserve"> – Persistindo o empate, será realizado </w:t>
      </w:r>
      <w:r w:rsidRPr="003558D6">
        <w:rPr>
          <w:rFonts w:ascii="Arial" w:hAnsi="Arial" w:cs="Arial"/>
          <w:b/>
          <w:bCs/>
          <w:sz w:val="24"/>
          <w:szCs w:val="24"/>
        </w:rPr>
        <w:t>sorteio público</w:t>
      </w:r>
      <w:r w:rsidRPr="003558D6">
        <w:rPr>
          <w:rFonts w:ascii="Arial" w:hAnsi="Arial" w:cs="Arial"/>
          <w:sz w:val="24"/>
          <w:szCs w:val="24"/>
        </w:rPr>
        <w:t>, com registro em ata.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5.2.</w:t>
      </w:r>
      <w:r w:rsidRPr="003558D6">
        <w:rPr>
          <w:rFonts w:ascii="Arial" w:hAnsi="Arial" w:cs="Arial"/>
          <w:sz w:val="24"/>
          <w:szCs w:val="24"/>
        </w:rPr>
        <w:t xml:space="preserve"> Os critérios de desempate previstos neste item aplicam-se </w:t>
      </w:r>
      <w:r w:rsidRPr="003558D6">
        <w:rPr>
          <w:rFonts w:ascii="Arial" w:hAnsi="Arial" w:cs="Arial"/>
          <w:b/>
          <w:bCs/>
          <w:sz w:val="24"/>
          <w:szCs w:val="24"/>
        </w:rPr>
        <w:t>exclusivamente à etapa de pré-seleção</w:t>
      </w:r>
      <w:r w:rsidRPr="003558D6">
        <w:rPr>
          <w:rFonts w:ascii="Arial" w:hAnsi="Arial" w:cs="Arial"/>
          <w:sz w:val="24"/>
          <w:szCs w:val="24"/>
        </w:rPr>
        <w:t xml:space="preserve"> e não se aplicam à classificação final da etapa competitiva.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sz w:val="24"/>
          <w:szCs w:val="24"/>
        </w:rPr>
        <w:lastRenderedPageBreak/>
        <w:pict>
          <v:rect id="_x0000_i1030" style="width:0;height:1.5pt" o:hralign="center" o:hrstd="t" o:hr="t" fillcolor="#a0a0a0" stroked="f"/>
        </w:pict>
      </w: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6. DOS IMPEDIMENTOS E DA IMPARCIALIDADE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6.1.</w:t>
      </w:r>
      <w:r w:rsidRPr="003558D6">
        <w:rPr>
          <w:rFonts w:ascii="Arial" w:hAnsi="Arial" w:cs="Arial"/>
          <w:sz w:val="24"/>
          <w:szCs w:val="24"/>
        </w:rPr>
        <w:t xml:space="preserve"> Os integrantes da comissão técnica deverão atuar com imparcialidade, observando os princípios da legalidade, impessoalidade, isonomia, transparência e tratamento igualitário entre os participantes.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6.2.</w:t>
      </w:r>
      <w:r w:rsidRPr="003558D6">
        <w:rPr>
          <w:rFonts w:ascii="Arial" w:hAnsi="Arial" w:cs="Arial"/>
          <w:sz w:val="24"/>
          <w:szCs w:val="24"/>
        </w:rPr>
        <w:t xml:space="preserve"> O integrante da comissão técnica que possuir vínculo pessoal, profissional, familiar ou qualquer outra situação que possa comprometer ou suscitar dúvida quanto à imparcialidade da avaliação deverá declarar seu impedimento e abster-se de avaliar o participante envolvido.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6.3.</w:t>
      </w:r>
      <w:r w:rsidRPr="003558D6">
        <w:rPr>
          <w:rFonts w:ascii="Arial" w:hAnsi="Arial" w:cs="Arial"/>
          <w:sz w:val="24"/>
          <w:szCs w:val="24"/>
        </w:rPr>
        <w:t xml:space="preserve"> O impedimento deverá ser registrado em ata ou documento próprio, para fins de transparência e controle do procedimento.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3558D6" w:rsidRPr="003558D6" w:rsidRDefault="003558D6" w:rsidP="003558D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7. DAS DISPOSIÇÕES FINAIS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7.1.</w:t>
      </w:r>
      <w:r w:rsidRPr="003558D6">
        <w:rPr>
          <w:rFonts w:ascii="Arial" w:hAnsi="Arial" w:cs="Arial"/>
          <w:sz w:val="24"/>
          <w:szCs w:val="24"/>
        </w:rPr>
        <w:t xml:space="preserve"> A participação na pré-seleção não assegura ao participante qualquer direito à premiação, uma vez que os vencedores serão definidos exclusivamente na etapa competitiva, conforme os critérios estabelecidos no Edital de Chamamento Público nº 03/2026.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7.2.</w:t>
      </w:r>
      <w:r w:rsidRPr="003558D6">
        <w:rPr>
          <w:rFonts w:ascii="Arial" w:hAnsi="Arial" w:cs="Arial"/>
          <w:sz w:val="24"/>
          <w:szCs w:val="24"/>
        </w:rPr>
        <w:t xml:space="preserve"> As notas obtidas na pré-seleção terão validade exclusivamente para a finalidade prevista neste Anexo, não produzindo efeitos sobre a pontuação, classificação ou premiação da etapa competitiva.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7.3.</w:t>
      </w:r>
      <w:r w:rsidRPr="003558D6">
        <w:rPr>
          <w:rFonts w:ascii="Arial" w:hAnsi="Arial" w:cs="Arial"/>
          <w:sz w:val="24"/>
          <w:szCs w:val="24"/>
        </w:rPr>
        <w:t xml:space="preserve"> A comissão técnica deverá aplicar os critérios de avaliação de forma uniforme a todos os participantes, respeitando as características e particularidades próprias das categorias </w:t>
      </w:r>
      <w:r w:rsidRPr="003558D6">
        <w:rPr>
          <w:rFonts w:ascii="Arial" w:hAnsi="Arial" w:cs="Arial"/>
          <w:b/>
          <w:bCs/>
          <w:sz w:val="24"/>
          <w:szCs w:val="24"/>
        </w:rPr>
        <w:t>Popular Livre, Sertanejo e Infantil</w:t>
      </w:r>
      <w:r w:rsidRPr="003558D6">
        <w:rPr>
          <w:rFonts w:ascii="Arial" w:hAnsi="Arial" w:cs="Arial"/>
          <w:sz w:val="24"/>
          <w:szCs w:val="24"/>
        </w:rPr>
        <w:t>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7.4.</w:t>
      </w:r>
      <w:r w:rsidRPr="003558D6">
        <w:rPr>
          <w:rFonts w:ascii="Arial" w:hAnsi="Arial" w:cs="Arial"/>
          <w:sz w:val="24"/>
          <w:szCs w:val="24"/>
        </w:rPr>
        <w:t xml:space="preserve"> Os casos não previstos neste Anexo serão solucionados pela comissão responsável pela execução do Festival, observadas as disposições do Edital de Chamamento Público nº 03/2026 e a legislação aplicável.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  <w:r w:rsidRPr="003558D6">
        <w:rPr>
          <w:rFonts w:ascii="Arial" w:hAnsi="Arial" w:cs="Arial"/>
          <w:b/>
          <w:bCs/>
          <w:sz w:val="24"/>
          <w:szCs w:val="24"/>
        </w:rPr>
        <w:t>7.5.</w:t>
      </w:r>
      <w:r w:rsidRPr="003558D6">
        <w:rPr>
          <w:rFonts w:ascii="Arial" w:hAnsi="Arial" w:cs="Arial"/>
          <w:sz w:val="24"/>
          <w:szCs w:val="24"/>
        </w:rPr>
        <w:t xml:space="preserve"> Este Anexo integra o Edital de Chamamento Público nº 03/2026 para todos os fins.</w:t>
      </w:r>
    </w:p>
    <w:p w:rsidR="003558D6" w:rsidRPr="003558D6" w:rsidRDefault="003558D6" w:rsidP="003558D6">
      <w:pPr>
        <w:jc w:val="both"/>
        <w:rPr>
          <w:rFonts w:ascii="Arial" w:hAnsi="Arial" w:cs="Arial"/>
          <w:sz w:val="24"/>
          <w:szCs w:val="24"/>
        </w:rPr>
      </w:pPr>
    </w:p>
    <w:sectPr w:rsidR="003558D6" w:rsidRPr="003558D6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7AD" w:rsidRDefault="00AC47AD">
      <w:pPr>
        <w:spacing w:after="0" w:line="240" w:lineRule="auto"/>
      </w:pPr>
      <w:r>
        <w:separator/>
      </w:r>
    </w:p>
  </w:endnote>
  <w:endnote w:type="continuationSeparator" w:id="0">
    <w:p w:rsidR="00AC47AD" w:rsidRDefault="00AC4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F356FE8-FB9A-4874-B2B2-3741C8A8B3A1}"/>
    <w:embedBold r:id="rId2" w:fontKey="{14EE9543-957B-4A33-88B7-A5F66D6803F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D341903-93BB-4E22-BAE5-520D4BEEBED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C9C0442-B11E-438C-A6F5-AB1E56DDE70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7AD" w:rsidRDefault="00AC47AD">
      <w:pPr>
        <w:spacing w:after="0" w:line="240" w:lineRule="auto"/>
      </w:pPr>
      <w:r>
        <w:separator/>
      </w:r>
    </w:p>
  </w:footnote>
  <w:footnote w:type="continuationSeparator" w:id="0">
    <w:p w:rsidR="00AC47AD" w:rsidRDefault="00AC4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E3" w:rsidRDefault="009D10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-1057271</wp:posOffset>
          </wp:positionH>
          <wp:positionV relativeFrom="paragraph">
            <wp:posOffset>-449576</wp:posOffset>
          </wp:positionV>
          <wp:extent cx="7528560" cy="1064923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8560" cy="1064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64E3" w:rsidRDefault="00FE6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3"/>
    <w:rsid w:val="00027B59"/>
    <w:rsid w:val="003558D6"/>
    <w:rsid w:val="009D10F5"/>
    <w:rsid w:val="00A17F95"/>
    <w:rsid w:val="00AC47AD"/>
    <w:rsid w:val="00B2384F"/>
    <w:rsid w:val="00F25E03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BEAD-68B2-4FD6-B74F-E59198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7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SbydOI/VhOe6rzOF5SYXYEikQ==">CgMxLjA4AHIhMXd4WWNCTm1PaF81NHp6dkRzQTQ2RWpqZ0VNcE8tQmdm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1158</Words>
  <Characters>6256</Characters>
  <Application>Microsoft Office Word</Application>
  <DocSecurity>0</DocSecurity>
  <Lines>52</Lines>
  <Paragraphs>14</Paragraphs>
  <ScaleCrop>false</ScaleCrop>
  <Company/>
  <LinksUpToDate>false</LinksUpToDate>
  <CharactersWithSpaces>7400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da Silva Ribeiro Teixeira</cp:lastModifiedBy>
  <cp:revision>6</cp:revision>
  <dcterms:created xsi:type="dcterms:W3CDTF">2026-07-16T16:54:00Z</dcterms:created>
  <dcterms:modified xsi:type="dcterms:W3CDTF">2026-09-23T13:39:00Z</dcterms:modified>
</cp:coreProperties>
</file>