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EA4CE" w14:textId="77777777" w:rsidR="00BE0650" w:rsidRDefault="00BE0650" w:rsidP="00BE06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88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8"/>
        <w:gridCol w:w="3270"/>
        <w:gridCol w:w="1489"/>
        <w:gridCol w:w="11"/>
        <w:gridCol w:w="2157"/>
      </w:tblGrid>
      <w:tr w:rsidR="00BE0650" w14:paraId="159585A7" w14:textId="77777777" w:rsidTr="00E745FC">
        <w:trPr>
          <w:trHeight w:val="1393"/>
        </w:trPr>
        <w:tc>
          <w:tcPr>
            <w:tcW w:w="1958" w:type="dxa"/>
          </w:tcPr>
          <w:p w14:paraId="48F55A9D" w14:textId="77777777" w:rsidR="00BE0650" w:rsidRDefault="00BE0650" w:rsidP="00E745FC">
            <w:r>
              <w:rPr>
                <w:noProof/>
              </w:rPr>
              <w:drawing>
                <wp:inline distT="0" distB="0" distL="0" distR="0" wp14:anchorId="184ABA9E" wp14:editId="05E606A9">
                  <wp:extent cx="1012190" cy="902335"/>
                  <wp:effectExtent l="0" t="0" r="0" b="0"/>
                  <wp:docPr id="7706557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</w:tcPr>
          <w:p w14:paraId="07A20278" w14:textId="77777777" w:rsidR="00BE0650" w:rsidRPr="005D631D" w:rsidRDefault="00BE0650" w:rsidP="00E745FC">
            <w:pPr>
              <w:pStyle w:val="Cabealho"/>
              <w:spacing w:line="276" w:lineRule="auto"/>
              <w:ind w:right="357"/>
              <w:jc w:val="center"/>
              <w:rPr>
                <w:rFonts w:ascii="Arial" w:hAnsi="Arial" w:cs="Arial"/>
                <w:b/>
                <w:bCs/>
              </w:rPr>
            </w:pPr>
            <w:r w:rsidRPr="005D631D">
              <w:rPr>
                <w:rFonts w:ascii="Arial" w:hAnsi="Arial" w:cs="Arial"/>
                <w:b/>
                <w:bCs/>
              </w:rPr>
              <w:t>PROCEDIMENTO OPERACIONAL PADRÃO</w:t>
            </w:r>
          </w:p>
          <w:p w14:paraId="6D45695E" w14:textId="77777777" w:rsidR="00BE0650" w:rsidRDefault="00BE0650" w:rsidP="00E745FC">
            <w:pPr>
              <w:jc w:val="center"/>
              <w:rPr>
                <w:rFonts w:ascii="Arial" w:hAnsi="Arial" w:cs="Arial"/>
                <w:b/>
                <w:bCs/>
              </w:rPr>
            </w:pPr>
            <w:r w:rsidRPr="005D631D">
              <w:rPr>
                <w:rFonts w:ascii="Arial" w:hAnsi="Arial" w:cs="Arial"/>
                <w:b/>
                <w:bCs/>
              </w:rPr>
              <w:t xml:space="preserve">- </w:t>
            </w:r>
            <w:r>
              <w:rPr>
                <w:rFonts w:ascii="Arial" w:hAnsi="Arial" w:cs="Arial"/>
                <w:b/>
                <w:bCs/>
              </w:rPr>
              <w:t xml:space="preserve">CEAF – Componente Especializado da </w:t>
            </w:r>
          </w:p>
          <w:p w14:paraId="1AE828B2" w14:textId="77777777" w:rsidR="00BE0650" w:rsidRDefault="00BE0650" w:rsidP="00E745F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Assistência Farmacêutica</w:t>
            </w:r>
            <w:r w:rsidRPr="005D631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–</w:t>
            </w:r>
          </w:p>
          <w:p w14:paraId="576DFDB8" w14:textId="51322F69" w:rsidR="00BE0650" w:rsidRDefault="00BE0650" w:rsidP="00E745FC">
            <w:pPr>
              <w:pStyle w:val="Cabealho"/>
              <w:spacing w:line="276" w:lineRule="auto"/>
              <w:ind w:right="357"/>
              <w:jc w:val="center"/>
            </w:pPr>
            <w:r w:rsidRPr="005D631D">
              <w:rPr>
                <w:rFonts w:ascii="Arial" w:hAnsi="Arial" w:cs="Arial"/>
                <w:b/>
                <w:bCs/>
              </w:rPr>
              <w:t>N.º 00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157" w:type="dxa"/>
          </w:tcPr>
          <w:p w14:paraId="31AB5981" w14:textId="77777777" w:rsidR="00BE0650" w:rsidRDefault="00BE0650" w:rsidP="00E745FC">
            <w:r>
              <w:rPr>
                <w:noProof/>
              </w:rPr>
              <w:drawing>
                <wp:inline distT="0" distB="0" distL="0" distR="0" wp14:anchorId="649A2AE7" wp14:editId="096CD1E3">
                  <wp:extent cx="883920" cy="859809"/>
                  <wp:effectExtent l="0" t="0" r="0" b="0"/>
                  <wp:docPr id="41190322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40" cy="85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650" w14:paraId="3839DE37" w14:textId="77777777" w:rsidTr="00E745FC">
        <w:trPr>
          <w:trHeight w:val="361"/>
        </w:trPr>
        <w:tc>
          <w:tcPr>
            <w:tcW w:w="5228" w:type="dxa"/>
            <w:gridSpan w:val="2"/>
          </w:tcPr>
          <w:p w14:paraId="24351EB4" w14:textId="77777777" w:rsidR="00BE0650" w:rsidRDefault="00BE0650" w:rsidP="00E745FC">
            <w:pPr>
              <w:spacing w:line="276" w:lineRule="auto"/>
              <w:jc w:val="both"/>
            </w:pPr>
            <w:r w:rsidRPr="005D631D">
              <w:rPr>
                <w:rFonts w:ascii="Arial" w:hAnsi="Arial" w:cs="Arial"/>
                <w:b/>
              </w:rPr>
              <w:t>Elaborado por: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D631D">
              <w:rPr>
                <w:rFonts w:ascii="Arial" w:hAnsi="Arial" w:cs="Arial"/>
              </w:rPr>
              <w:t>Rogério Fracalossi</w:t>
            </w:r>
          </w:p>
        </w:tc>
        <w:tc>
          <w:tcPr>
            <w:tcW w:w="1489" w:type="dxa"/>
            <w:vMerge w:val="restart"/>
          </w:tcPr>
          <w:p w14:paraId="24E79A5C" w14:textId="77777777" w:rsidR="00BE0650" w:rsidRPr="002936CA" w:rsidRDefault="00BE0650" w:rsidP="00E745FC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2936CA">
              <w:rPr>
                <w:rFonts w:ascii="Arial" w:hAnsi="Arial" w:cs="Arial"/>
                <w:b/>
                <w:sz w:val="16"/>
                <w:szCs w:val="16"/>
              </w:rPr>
              <w:t>Aprovado por:</w:t>
            </w:r>
          </w:p>
        </w:tc>
        <w:tc>
          <w:tcPr>
            <w:tcW w:w="2168" w:type="dxa"/>
            <w:gridSpan w:val="2"/>
            <w:vMerge w:val="restart"/>
          </w:tcPr>
          <w:p w14:paraId="64199363" w14:textId="77777777" w:rsidR="00BE0650" w:rsidRPr="005D631D" w:rsidRDefault="00BE0650" w:rsidP="00E745F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D631D">
              <w:rPr>
                <w:rFonts w:ascii="Arial" w:hAnsi="Arial" w:cs="Arial"/>
                <w:b/>
              </w:rPr>
              <w:t>Atualizado em:</w:t>
            </w:r>
          </w:p>
          <w:p w14:paraId="4438203F" w14:textId="4FE0F747" w:rsidR="00BE0650" w:rsidRDefault="00BE0650" w:rsidP="00E745FC">
            <w:pPr>
              <w:jc w:val="center"/>
            </w:pPr>
            <w:r w:rsidRPr="005D631D">
              <w:rPr>
                <w:rFonts w:ascii="Arial" w:hAnsi="Arial" w:cs="Arial"/>
              </w:rPr>
              <w:t>202</w:t>
            </w:r>
            <w:r w:rsidR="00F83531">
              <w:rPr>
                <w:rFonts w:ascii="Arial" w:hAnsi="Arial" w:cs="Arial"/>
              </w:rPr>
              <w:t>6</w:t>
            </w:r>
          </w:p>
        </w:tc>
      </w:tr>
      <w:tr w:rsidR="00BE0650" w14:paraId="266147EE" w14:textId="77777777" w:rsidTr="00E745FC">
        <w:trPr>
          <w:trHeight w:val="340"/>
        </w:trPr>
        <w:tc>
          <w:tcPr>
            <w:tcW w:w="5228" w:type="dxa"/>
            <w:gridSpan w:val="2"/>
          </w:tcPr>
          <w:p w14:paraId="1F0EA8D8" w14:textId="77777777" w:rsidR="00BE0650" w:rsidRPr="002936CA" w:rsidRDefault="00BE0650" w:rsidP="00E745FC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5D631D">
              <w:rPr>
                <w:rFonts w:ascii="Arial" w:hAnsi="Arial" w:cs="Arial"/>
                <w:b/>
              </w:rPr>
              <w:t>Revisado por: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Helielza R. Mesquita</w:t>
            </w:r>
          </w:p>
        </w:tc>
        <w:tc>
          <w:tcPr>
            <w:tcW w:w="1489" w:type="dxa"/>
            <w:vMerge/>
          </w:tcPr>
          <w:p w14:paraId="1070172D" w14:textId="77777777" w:rsidR="00BE0650" w:rsidRPr="002936CA" w:rsidRDefault="00BE0650" w:rsidP="00E745FC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68" w:type="dxa"/>
            <w:gridSpan w:val="2"/>
            <w:vMerge/>
          </w:tcPr>
          <w:p w14:paraId="3735CF5F" w14:textId="77777777" w:rsidR="00BE0650" w:rsidRDefault="00BE0650" w:rsidP="00E745FC"/>
        </w:tc>
      </w:tr>
    </w:tbl>
    <w:p w14:paraId="7D1135D2" w14:textId="77777777" w:rsidR="00BE0650" w:rsidRDefault="00BE0650" w:rsidP="00BE0650"/>
    <w:p w14:paraId="13A69182" w14:textId="77777777" w:rsidR="00FB7B54" w:rsidRDefault="00FB7B54"/>
    <w:p w14:paraId="7828F194" w14:textId="77777777" w:rsidR="00FB7B54" w:rsidRDefault="00000000">
      <w:pPr>
        <w:pStyle w:val="Ttulo1"/>
        <w:spacing w:line="360" w:lineRule="auto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</w:rPr>
        <w:t>1. TÍTULO: AQUISIÇÃO DE MEDICAMENTOS CEAF, ESTRATÉGICOS E HEPATITES</w:t>
      </w:r>
    </w:p>
    <w:p w14:paraId="55C8B44C" w14:textId="77777777" w:rsidR="00FB7B54" w:rsidRDefault="00FB7B54">
      <w:pPr>
        <w:spacing w:line="360" w:lineRule="auto"/>
        <w:jc w:val="both"/>
        <w:rPr>
          <w:rFonts w:ascii="Arial" w:eastAsia="Arial" w:hAnsi="Arial" w:cs="Arial"/>
        </w:rPr>
      </w:pPr>
    </w:p>
    <w:p w14:paraId="0FB9B96E" w14:textId="77777777" w:rsidR="00FB7B54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2. OBJETIVOS: </w:t>
      </w:r>
      <w:r>
        <w:rPr>
          <w:rFonts w:ascii="Arial" w:eastAsia="Arial" w:hAnsi="Arial" w:cs="Arial"/>
        </w:rPr>
        <w:t>Padronizar aquisições da farmácia, tendo como principal objetivo controlar a entrada de medicamentos.</w:t>
      </w:r>
    </w:p>
    <w:p w14:paraId="630B6110" w14:textId="77777777" w:rsidR="00FB7B54" w:rsidRDefault="00FB7B54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4697942E" w14:textId="77777777" w:rsidR="00FB7B54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 DEFINIÇÃO:</w:t>
      </w:r>
      <w:r>
        <w:rPr>
          <w:rFonts w:ascii="Arial" w:eastAsia="Arial" w:hAnsi="Arial" w:cs="Arial"/>
        </w:rPr>
        <w:t xml:space="preserve"> A aquisição de medicamentos é uma das principais atividades da Gestão da Assistência Farmacêutica e deve estar estreitamente vinculada às ofertas de serviços e à cobertura assistencial dos programas de saúde. </w:t>
      </w:r>
    </w:p>
    <w:p w14:paraId="401C7BBB" w14:textId="77777777" w:rsidR="00FB7B54" w:rsidRDefault="00FB7B54">
      <w:pPr>
        <w:spacing w:line="360" w:lineRule="auto"/>
        <w:jc w:val="both"/>
        <w:rPr>
          <w:rFonts w:ascii="Arial" w:eastAsia="Arial" w:hAnsi="Arial" w:cs="Arial"/>
        </w:rPr>
      </w:pPr>
    </w:p>
    <w:p w14:paraId="1FC398AA" w14:textId="77777777" w:rsidR="00FB7B54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 AQUISIÇOES:</w:t>
      </w:r>
    </w:p>
    <w:p w14:paraId="2DC48288" w14:textId="77777777" w:rsidR="00FB7B54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A aquisição mensal de medicamentos para Componente Especializado da Assistência Farmacêutica, Medicamentos Estratégicos e Medicamentos para Hepatites, é realizada em data específica e agendada. O Farmacêutico dirige-se até a CAF da 3ª Regional de Saúde para conferência e retirada dos medicamentos. </w:t>
      </w:r>
    </w:p>
    <w:p w14:paraId="66D06DE6" w14:textId="77777777" w:rsidR="00FB7B54" w:rsidRDefault="00000000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quantidades fornecidas são baseadas no consumo e cadastros existentes, desta forma o Farmacêutico da 3ª Regional gera uma Guia de Remessa (GR) para transferência, que posteriormente deve ser confirmada pelo Farmacêutico da Farmácia de destino, cada uma em seu sistema.</w:t>
      </w:r>
    </w:p>
    <w:p w14:paraId="6515103B" w14:textId="77777777" w:rsidR="00FB7B54" w:rsidRDefault="00FB7B54">
      <w:pPr>
        <w:spacing w:line="360" w:lineRule="auto"/>
        <w:jc w:val="both"/>
        <w:rPr>
          <w:rFonts w:ascii="Arial" w:eastAsia="Arial" w:hAnsi="Arial" w:cs="Arial"/>
        </w:rPr>
      </w:pPr>
    </w:p>
    <w:p w14:paraId="741C950D" w14:textId="77777777" w:rsidR="00FB7B54" w:rsidRDefault="00000000">
      <w:pPr>
        <w:spacing w:line="360" w:lineRule="auto"/>
        <w:ind w:firstLine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CEAF- SISMEDEX</w:t>
      </w:r>
    </w:p>
    <w:p w14:paraId="078F09F7" w14:textId="77777777" w:rsidR="00FB7B54" w:rsidRDefault="00000000">
      <w:pPr>
        <w:spacing w:line="360" w:lineRule="auto"/>
        <w:ind w:firstLine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ESTRATÉGICOS - GSUS</w:t>
      </w:r>
    </w:p>
    <w:p w14:paraId="157DEE1F" w14:textId="77777777" w:rsidR="00FB7B54" w:rsidRDefault="00000000">
      <w:pPr>
        <w:spacing w:line="360" w:lineRule="auto"/>
        <w:ind w:firstLine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HEPATITES - SICLOM</w:t>
      </w:r>
    </w:p>
    <w:p w14:paraId="1B24E73E" w14:textId="77777777" w:rsidR="00FB7B54" w:rsidRDefault="00FB7B54">
      <w:pPr>
        <w:spacing w:line="360" w:lineRule="auto"/>
        <w:ind w:firstLine="708"/>
        <w:jc w:val="both"/>
        <w:rPr>
          <w:rFonts w:ascii="Arial" w:eastAsia="Arial" w:hAnsi="Arial" w:cs="Arial"/>
        </w:rPr>
      </w:pPr>
    </w:p>
    <w:p w14:paraId="71C7F00A" w14:textId="77777777" w:rsidR="00FB7B54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4. PROCEDIMENTO: </w:t>
      </w:r>
    </w:p>
    <w:p w14:paraId="1E50AA85" w14:textId="77777777" w:rsidR="00FB7B54" w:rsidRDefault="00FB7B54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17AA5F99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 dia anterior à data agendada para retirada dos medicamentos na 3ª Regional de Saúde, deixar caixas térmicas com gelox para ambientação. </w:t>
      </w:r>
    </w:p>
    <w:p w14:paraId="7E223BA8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 dia agendado o farmacêutico vai até a 3ª Regional de Saúde, realizar conferência de todos os medicamentos separados </w:t>
      </w:r>
      <w:r>
        <w:rPr>
          <w:rFonts w:ascii="Arial" w:eastAsia="Arial" w:hAnsi="Arial" w:cs="Arial"/>
        </w:rPr>
        <w:t>para o município,</w:t>
      </w:r>
      <w:r>
        <w:rPr>
          <w:rFonts w:ascii="Arial" w:eastAsia="Arial" w:hAnsi="Arial" w:cs="Arial"/>
          <w:color w:val="000000"/>
        </w:rPr>
        <w:t xml:space="preserve"> nome do medicamento, lote e quantidade.</w:t>
      </w:r>
    </w:p>
    <w:p w14:paraId="02579C63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Após a conferência retornar ao município, e realizar a guarda dos medicamentos.</w:t>
      </w:r>
    </w:p>
    <w:p w14:paraId="76173B48" w14:textId="77777777" w:rsidR="00FB7B54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Todos os medicamentos que entram no estoque deverão ser lançados no sistema;</w:t>
      </w:r>
    </w:p>
    <w:p w14:paraId="744A37A2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Primeiramente, deve-se guardar medicamentos refrigerados, sempre mantendo o lote que vencer primeiro na frente e os demais atrás seguindo a ordem cronológica, após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>guarda-se os demais medicamentos e da mesma forma observando lote e validade pela ordem cronológica.</w:t>
      </w:r>
    </w:p>
    <w:p w14:paraId="5E454A25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Dar entrada no sistema de todas as GRs. </w:t>
      </w:r>
    </w:p>
    <w:p w14:paraId="233A56DE" w14:textId="77777777" w:rsidR="00FB7B54" w:rsidRDefault="00FB7B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</w:p>
    <w:p w14:paraId="10234BEE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>SISTEMA CEAF</w:t>
      </w:r>
    </w:p>
    <w:p w14:paraId="3524B5AA" w14:textId="77777777" w:rsidR="00FB7B54" w:rsidRDefault="00FB7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hyperlink r:id="rId8">
        <w:r>
          <w:rPr>
            <w:rFonts w:ascii="Arial" w:eastAsia="Arial" w:hAnsi="Arial" w:cs="Arial"/>
            <w:color w:val="0563C1"/>
            <w:u w:val="single"/>
          </w:rPr>
          <w:t>https://www.sismedex.parana.pr.gov.br/cmde_pr/entrada.do?action=carregarLogin&amp;SENTINELA=SENTINELA_REQUEST_LOGOFF</w:t>
        </w:r>
      </w:hyperlink>
    </w:p>
    <w:p w14:paraId="5C5A0A2E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Clicar na aba fluxo de estoque&gt; selecionar guia de remessa de material&gt; confirmar guia&gt; digitar o número da guia&gt; pesquisar&gt; selecionar forma de armazenamento e fração de 01 para todos&gt; salvar</w:t>
      </w:r>
    </w:p>
    <w:p w14:paraId="0545753C" w14:textId="77777777" w:rsidR="00FB7B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5FA62E36" wp14:editId="0547C5BB">
            <wp:extent cx="5558790" cy="2138680"/>
            <wp:effectExtent l="0" t="0" r="0" b="0"/>
            <wp:docPr id="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t="12079" r="-2927" b="17416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13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F2F33" w14:textId="77777777" w:rsidR="00FB7B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2D7950EE" wp14:editId="22228491">
            <wp:extent cx="5400675" cy="2167255"/>
            <wp:effectExtent l="0" t="0" r="0" b="0"/>
            <wp:docPr id="7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t="13646" b="1490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B29E67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SISTEMA GSUS</w:t>
      </w:r>
    </w:p>
    <w:p w14:paraId="6273BE51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www.gsus.saude.pr.gov.br/gsus-integrado/inicial.do?action=carregarIndex2</w:t>
      </w:r>
    </w:p>
    <w:p w14:paraId="0D590EA8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Clicar na aba Farmácia&gt; Guia de remessa&gt;Registrar guia de remessa UAF&gt; clicar em registrar&gt; selecionar conferido e gravar.</w:t>
      </w:r>
    </w:p>
    <w:p w14:paraId="2C9405B8" w14:textId="77777777" w:rsidR="00FB7B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21447ACE" wp14:editId="5B27F94A">
            <wp:extent cx="5473065" cy="1885523"/>
            <wp:effectExtent l="0" t="0" r="0" b="0"/>
            <wp:docPr id="7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t="7822" r="-1340" b="30112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1885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C30A5" w14:textId="77777777" w:rsidR="00FB7B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27937E86" wp14:editId="6069B112">
            <wp:extent cx="5358765" cy="1660830"/>
            <wp:effectExtent l="0" t="0" r="0" b="0"/>
            <wp:docPr id="8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t="7324" r="776" b="38082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166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51BAE9F0" wp14:editId="0AAD7355">
            <wp:extent cx="5400675" cy="2075912"/>
            <wp:effectExtent l="0" t="0" r="0" b="0"/>
            <wp:docPr id="7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t="7192" b="2447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75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D30ABF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SISTEMA SICLOM</w:t>
      </w:r>
    </w:p>
    <w:p w14:paraId="3050354D" w14:textId="77777777" w:rsidR="00FB7B54" w:rsidRDefault="00FB7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hyperlink r:id="rId14">
        <w:r>
          <w:rPr>
            <w:rFonts w:ascii="Arial" w:eastAsia="Arial" w:hAnsi="Arial" w:cs="Arial"/>
            <w:color w:val="1155CC"/>
            <w:u w:val="single"/>
          </w:rPr>
          <w:t>https://siclomhepatites.aids.gov.br/principal.php#</w:t>
        </w:r>
      </w:hyperlink>
    </w:p>
    <w:p w14:paraId="1019A4D1" w14:textId="77777777" w:rsidR="00FB7B54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Clicar na aba Ressuprimento mensal&gt; selecionar o mês da programação ascendente&gt; clicar em cima do nome do medicamento recebido&gt; digitar a quantidade recebida, lote e validade&gt; salvar.</w:t>
      </w:r>
    </w:p>
    <w:p w14:paraId="42D4913C" w14:textId="77777777" w:rsidR="00FB7B54" w:rsidRDefault="00000000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B2E40DF" wp14:editId="787B7F4E">
            <wp:extent cx="5400675" cy="2403780"/>
            <wp:effectExtent l="0" t="0" r="0" b="0"/>
            <wp:docPr id="7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t="11713" b="927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4842F" w14:textId="77777777" w:rsidR="00FB7B54" w:rsidRDefault="00000000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34CFBA70" wp14:editId="20303222">
            <wp:extent cx="5444490" cy="2472055"/>
            <wp:effectExtent l="0" t="0" r="0" b="0"/>
            <wp:docPr id="7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t="11765" r="-741" b="6740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47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FF3AA" w14:textId="77777777" w:rsidR="00FB7B54" w:rsidRDefault="00FB7B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</w:p>
    <w:p w14:paraId="18938C83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Arquivar a guia na pasta.</w:t>
      </w:r>
    </w:p>
    <w:p w14:paraId="6F824991" w14:textId="77777777" w:rsidR="00FB7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Em casos excepcionais de faltas na Regional de Saúde, a medicação é enviada posteriormente ao Município , conferida e feita entrada no sistema.</w:t>
      </w:r>
    </w:p>
    <w:p w14:paraId="744D208E" w14:textId="77777777" w:rsidR="00FB7B54" w:rsidRDefault="00FB7B54">
      <w:pPr>
        <w:spacing w:line="360" w:lineRule="auto"/>
        <w:jc w:val="both"/>
        <w:rPr>
          <w:rFonts w:ascii="Arial" w:eastAsia="Arial" w:hAnsi="Arial" w:cs="Arial"/>
        </w:rPr>
      </w:pPr>
    </w:p>
    <w:p w14:paraId="4DE6E28B" w14:textId="77777777" w:rsidR="00FB7B54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RESPONSABILIDADES NA EXECUÇÃO DO POP</w:t>
      </w:r>
    </w:p>
    <w:p w14:paraId="2D8DCB2F" w14:textId="77777777" w:rsidR="00FB7B54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Farmaceutico (a) </w:t>
      </w:r>
    </w:p>
    <w:p w14:paraId="33B89800" w14:textId="77777777" w:rsidR="00FB7B54" w:rsidRDefault="00FB7B54">
      <w:pPr>
        <w:spacing w:line="360" w:lineRule="auto"/>
        <w:jc w:val="both"/>
        <w:rPr>
          <w:rFonts w:ascii="Arial" w:eastAsia="Arial" w:hAnsi="Arial" w:cs="Arial"/>
        </w:rPr>
      </w:pPr>
    </w:p>
    <w:p w14:paraId="4BAC0E3E" w14:textId="77777777" w:rsidR="00FB7B54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REFERÊNCIAS:</w:t>
      </w:r>
    </w:p>
    <w:p w14:paraId="22AB3CFD" w14:textId="77777777" w:rsidR="00FB7B54" w:rsidRDefault="00FB7B54">
      <w:pPr>
        <w:jc w:val="both"/>
        <w:rPr>
          <w:rFonts w:ascii="Arial" w:eastAsia="Arial" w:hAnsi="Arial" w:cs="Arial"/>
          <w:b/>
        </w:rPr>
      </w:pPr>
    </w:p>
    <w:p w14:paraId="1E4F6EEF" w14:textId="77777777" w:rsidR="00FB7B54" w:rsidRDefault="00000000">
      <w:pPr>
        <w:spacing w:line="360" w:lineRule="auto"/>
        <w:jc w:val="both"/>
      </w:pPr>
      <w:r>
        <w:rPr>
          <w:rFonts w:ascii="Arial" w:eastAsia="Arial" w:hAnsi="Arial" w:cs="Arial"/>
          <w:b/>
        </w:rPr>
        <w:t>Disponível em :</w:t>
      </w:r>
      <w:r>
        <w:t xml:space="preserve"> </w:t>
      </w:r>
    </w:p>
    <w:p w14:paraId="685F8310" w14:textId="77777777" w:rsidR="00FB7B54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http://www.abrasp.org.br/downloads/2010/ABRASP_RIO_2010_RASTREABILIDADE_YUGUE_final.pd</w:t>
      </w:r>
    </w:p>
    <w:sectPr w:rsidR="00FB7B5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9AD6A3B-A452-49A2-B38C-62BE05DA00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576099B4-05BE-4C63-820C-0D8ADA64B1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5EBCE93-C33A-4124-9650-BE0D2390730C}"/>
    <w:embedItalic r:id="rId4" w:fontKey="{0BEB3DFC-0010-49E4-85FD-CED5864423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3CDDE0-7FA3-4643-9995-FD03432E0A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E6E45"/>
    <w:multiLevelType w:val="multilevel"/>
    <w:tmpl w:val="4404C5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8981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B54"/>
    <w:rsid w:val="007E5223"/>
    <w:rsid w:val="00A2124C"/>
    <w:rsid w:val="00BE0650"/>
    <w:rsid w:val="00F83531"/>
    <w:rsid w:val="00FB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975F9"/>
  <w15:docId w15:val="{DEBFC9B9-7DD7-4098-B380-B96E8AD9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370"/>
    <w:pPr>
      <w:suppressAutoHyphens/>
    </w:pPr>
    <w:rPr>
      <w:kern w:val="1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24370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243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rsid w:val="00F24370"/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24370"/>
    <w:rPr>
      <w:rFonts w:asciiTheme="majorHAnsi" w:eastAsiaTheme="majorEastAsia" w:hAnsiTheme="majorHAnsi" w:cstheme="majorBidi"/>
      <w:color w:val="1F4D78" w:themeColor="accent1" w:themeShade="7F"/>
      <w:kern w:val="1"/>
      <w:sz w:val="24"/>
      <w:szCs w:val="24"/>
      <w:lang w:eastAsia="ar-SA"/>
    </w:rPr>
  </w:style>
  <w:style w:type="paragraph" w:styleId="Cabealho">
    <w:name w:val="header"/>
    <w:basedOn w:val="Normal"/>
    <w:link w:val="CabealhoChar"/>
    <w:unhideWhenUsed/>
    <w:rsid w:val="00F2437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24370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DE491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smedex.parana.pr.gov.br/cmde_pr/entrada.do?action=carregarLogin&amp;SENTINELA=SENTINELA_REQUEST_LOGOFF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iclomhepatites.aids.gov.br/principal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kEW46thMmlS27fcONcui6fXJPA==">CgMxLjAyCGguZ2pkZ3hzMgloLjMwajB6bGw4AHIhMUUzaDVUZEFIcDBOc3R4SjUxVFpUQzdvTjdvaFVGZVRx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Rogerio Fracalossi</cp:lastModifiedBy>
  <cp:revision>3</cp:revision>
  <dcterms:created xsi:type="dcterms:W3CDTF">2023-02-16T14:55:00Z</dcterms:created>
  <dcterms:modified xsi:type="dcterms:W3CDTF">2026-04-07T13:47:00Z</dcterms:modified>
</cp:coreProperties>
</file>